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EBCB" w14:textId="77777777" w:rsidR="00130F50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7FF89F30" w14:textId="77777777" w:rsidR="00130F50" w:rsidRPr="004234B4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</w:t>
      </w:r>
      <w:r w:rsidR="004234B4" w:rsidRP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065/2021 - PMV</w:t>
      </w:r>
    </w:p>
    <w:p w14:paraId="7FFFE979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17ACBCAC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considerando o julgamento da licitação na modalidade de pregão, na forma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</w:t>
      </w:r>
      <w:r w:rsidR="004234B4" w:rsidRPr="004234B4">
        <w:rPr>
          <w:rFonts w:ascii="Arial" w:eastAsia="Times New Roman" w:hAnsi="Arial" w:cs="Arial"/>
          <w:sz w:val="20"/>
          <w:szCs w:val="20"/>
          <w:lang w:eastAsia="pt-BR"/>
        </w:rPr>
        <w:t>05/08/2021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AA4337">
        <w:rPr>
          <w:rFonts w:ascii="Arial" w:hAnsi="Arial" w:cs="Arial"/>
          <w:sz w:val="20"/>
          <w:szCs w:val="20"/>
        </w:rPr>
        <w:t>Decreto Municipal n.º 049/2020</w:t>
      </w:r>
      <w:r w:rsidR="00325A46">
        <w:rPr>
          <w:rFonts w:ascii="Arial" w:hAnsi="Arial" w:cs="Arial"/>
          <w:sz w:val="20"/>
          <w:szCs w:val="20"/>
        </w:rPr>
        <w:t xml:space="preserve">, </w:t>
      </w:r>
      <w:r w:rsidR="00325A46" w:rsidRPr="00A54C61">
        <w:rPr>
          <w:rFonts w:ascii="Arial" w:hAnsi="Arial" w:cs="Arial"/>
          <w:sz w:val="20"/>
          <w:szCs w:val="20"/>
        </w:rPr>
        <w:t>e em conformidade com as disposições a seguir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8CED3BF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19E283F" w14:textId="77777777" w:rsidR="00130F50" w:rsidRPr="00235280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7B7AB4E7" w14:textId="77777777" w:rsidR="00130F50" w:rsidRPr="00235280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235280"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Aquisição de móveis, eletrodomésticos e eletrônicos destinados ao atendimento das demandas do município de Viçosa/RN, especificado(s) no(s) item(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235280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nº 023/2021 - PE, que é parte integrante desta Ata, assim como a proposta vencedora, independentemente de transcrição.</w:t>
      </w:r>
    </w:p>
    <w:p w14:paraId="2D7AEEB7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24B26D" w14:textId="77777777" w:rsidR="00655CAD" w:rsidRPr="00235280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7ADDF887" w14:textId="77777777" w:rsidR="00655CAD" w:rsidRPr="00311046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309459B1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6419E83" w14:textId="77777777" w:rsidR="00655CAD" w:rsidRPr="003633A6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633A6">
        <w:rPr>
          <w:rFonts w:ascii="Arial" w:hAnsi="Arial" w:cs="Arial"/>
          <w:b/>
          <w:sz w:val="20"/>
          <w:szCs w:val="20"/>
        </w:rPr>
        <w:t>FORNECEDORES</w:t>
      </w:r>
      <w:r w:rsidR="00325A46">
        <w:rPr>
          <w:rFonts w:ascii="Arial" w:hAnsi="Arial" w:cs="Arial"/>
          <w:b/>
          <w:sz w:val="20"/>
          <w:szCs w:val="20"/>
        </w:rPr>
        <w:t xml:space="preserve"> VENCEDORES</w:t>
      </w:r>
      <w:r w:rsidRPr="003633A6">
        <w:rPr>
          <w:rFonts w:ascii="Arial" w:hAnsi="Arial" w:cs="Arial"/>
          <w:b/>
          <w:sz w:val="20"/>
          <w:szCs w:val="20"/>
        </w:rPr>
        <w:t>:</w:t>
      </w:r>
    </w:p>
    <w:p w14:paraId="5E6ADECE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11046">
        <w:rPr>
          <w:rFonts w:ascii="Arial" w:eastAsia="Times New Roman" w:hAnsi="Arial" w:cs="Arial"/>
          <w:iCs/>
          <w:sz w:val="20"/>
          <w:szCs w:val="20"/>
          <w:lang w:eastAsia="pt-BR"/>
        </w:rPr>
        <w:t>M. K. DE AZEVEDO ARAUJO DUTRA DANTAS - CNPJ: 21.062.777/0001-50, com sede na R JOAQUIM RIBEIRO, 181, CENTRO, São Bento/PB</w:t>
      </w:r>
    </w:p>
    <w:p w14:paraId="44F26F29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239F4812" w14:textId="77777777" w:rsidR="00655CAD" w:rsidRPr="00325A46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325A46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325A46">
        <w:rPr>
          <w:rFonts w:ascii="Arial" w:hAnsi="Arial" w:cs="Arial"/>
          <w:bCs/>
          <w:iCs/>
          <w:sz w:val="20"/>
          <w:szCs w:val="20"/>
        </w:rPr>
        <w:t>:</w:t>
      </w:r>
    </w:p>
    <w:p w14:paraId="309C9BA7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030C2997" w14:textId="77777777" w:rsidR="00D066A6" w:rsidRDefault="0054082E">
      <w:r>
        <w:rPr>
          <w:rFonts w:ascii="Arial" w:eastAsia="Times New Roman" w:hAnsi="Arial" w:cs="Arial"/>
          <w:b/>
          <w:sz w:val="16"/>
        </w:rPr>
        <w:t>1567 - M. K. DE AZEVEDO ARAUJO DUTRA DANTAS (21.062.777/0001-50)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166"/>
        <w:gridCol w:w="895"/>
        <w:gridCol w:w="1097"/>
        <w:gridCol w:w="1114"/>
        <w:gridCol w:w="928"/>
      </w:tblGrid>
      <w:tr w:rsidR="00D066A6" w14:paraId="283BF97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A1E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696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01E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C00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DEE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13C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D066A6" w14:paraId="11EE046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EF0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576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4764 - CADEIRAS ESTOFADAS SEM BRAÇOS Cadeira ergonômica fixa, sem braços, assento e encosto estofados em espuma de poliuretano laminada 40mm, revestimento em tecido polipropileno, com proteção das bordas em PVC, base com 04 pés, estrutura em aço tubular, pintada em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epoxi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preto. DIMENSÕES: Altura: 900mm; Profundidade: 670mm; Largura: 655mm; Altura do encosto: 450mm; Largura do encosto: 450mm; Profundidade do assento: 450mm; Largura do assento: 450mm; Altura do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assento(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>em relação ao piso): 455mm. MARTIFLEX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328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D5A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BE7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71B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5.220,00</w:t>
            </w:r>
          </w:p>
        </w:tc>
      </w:tr>
      <w:tr w:rsidR="00D066A6" w14:paraId="0104779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E3B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893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4773 - MICROONDAS (30 LT) Capacidade mínima: 30 litros; Funções: auto descongelar, grill, painel com relógio, bloqueio do painel, timer, teclas pré-</w:t>
            </w:r>
            <w:r>
              <w:rPr>
                <w:rFonts w:ascii="Arial" w:eastAsia="Times New Roman" w:hAnsi="Arial" w:cs="Arial"/>
                <w:sz w:val="16"/>
              </w:rPr>
              <w:lastRenderedPageBreak/>
              <w:t>programadas; Voltagem: 220V/60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Hz;máq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, Garantia mínima: 1 ano; Referência: Classificação: selo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procel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categoria A, certificação do INMETRO [Programa Nacional de Conservação de Energia Elétrica (Portaria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inmetro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mdic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n° 20 de 01/02/2006)]; Manual em português. MIDEA - MTRS42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0A8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D40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6EA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E5B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4.193,00</w:t>
            </w:r>
          </w:p>
        </w:tc>
      </w:tr>
      <w:tr w:rsidR="00D066A6" w14:paraId="700CFBF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3EF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FC2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4794 - BEBEDOURA DE COLUNA COM DUAS TORNEIRAS KARINA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82D8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DAB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19C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B5D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5.990,00</w:t>
            </w:r>
          </w:p>
        </w:tc>
      </w:tr>
      <w:tr w:rsidR="00D066A6" w14:paraId="1A39296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6D5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ED6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4774 - FOGÃO 04 BOCAS Fogão - 4 bocas; Acendimento automático (mesa e forno); Forno autolimpante; capacidade mínima: 45 litros; Válvula de segurança no forno; Prateleira removível; cor branca. BRASLAR - SIRIUS PLUS 4BC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032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995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48A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577,00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30C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4.616,00</w:t>
            </w:r>
          </w:p>
        </w:tc>
      </w:tr>
      <w:tr w:rsidR="00D066A6" w14:paraId="1F36FAA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E93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7CE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4795 - AR CONDICIONADO SPLIT 9.000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BTUS  AGRATTO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1D7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D14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60A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1.389,90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C4D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13.899,00</w:t>
            </w:r>
          </w:p>
        </w:tc>
      </w:tr>
      <w:tr w:rsidR="00D066A6" w14:paraId="1953FB7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D7C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155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4796 - AR CONDICIONADO SPLIT 24.000 BTUS ELGIN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811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403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E00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3.200,00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9F4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16.000,00</w:t>
            </w:r>
          </w:p>
        </w:tc>
      </w:tr>
      <w:tr w:rsidR="00D066A6" w14:paraId="1DFC2173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EAA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1F5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49.918,00</w:t>
            </w:r>
          </w:p>
        </w:tc>
      </w:tr>
    </w:tbl>
    <w:p w14:paraId="3472CEE8" w14:textId="77777777" w:rsidR="00325A46" w:rsidRPr="00325A46" w:rsidRDefault="00325A46" w:rsidP="00325A46">
      <w:pPr>
        <w:pStyle w:val="PargrafodaLista"/>
        <w:ind w:left="1283"/>
        <w:rPr>
          <w:rFonts w:ascii="Arial" w:hAnsi="Arial" w:cs="Arial"/>
          <w:bCs/>
          <w:iCs/>
          <w:color w:val="FF0000"/>
          <w:sz w:val="20"/>
          <w:szCs w:val="20"/>
        </w:rPr>
      </w:pPr>
    </w:p>
    <w:p w14:paraId="3378741F" w14:textId="6108A71B" w:rsidR="00325A46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/>
          <w:iCs/>
          <w:sz w:val="20"/>
          <w:szCs w:val="20"/>
        </w:rPr>
        <w:t>ÓRGÃO(S) GERENCIADOR E PARTICIPANTE(S)</w:t>
      </w:r>
    </w:p>
    <w:p w14:paraId="2F0B9AEF" w14:textId="77777777" w:rsidR="00325A46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7085E5CE" w14:textId="77777777" w:rsidR="001B7AC6" w:rsidRDefault="001B7AC6" w:rsidP="001B7AC6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5BCE119C" w14:textId="77777777" w:rsidR="001B7AC6" w:rsidRDefault="001B7AC6" w:rsidP="001B7AC6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0B867E98" w14:textId="77777777" w:rsidR="001B7AC6" w:rsidRDefault="001B7AC6" w:rsidP="001B7AC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41B3366E" w14:textId="77777777" w:rsidR="001B7AC6" w:rsidRDefault="001B7AC6" w:rsidP="001B7AC6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ÓRGÃOS PARTICIPANTES: </w:t>
      </w:r>
    </w:p>
    <w:p w14:paraId="133BF00E" w14:textId="77777777" w:rsidR="001B7AC6" w:rsidRDefault="001B7AC6" w:rsidP="001B7AC6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7D75179B" w14:textId="77777777" w:rsidR="001B7AC6" w:rsidRDefault="001B7AC6" w:rsidP="001B7AC6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1017A34D" w14:textId="77777777" w:rsidR="001B7AC6" w:rsidRDefault="001B7AC6" w:rsidP="001B7AC6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OBRAS E SERVIÇOS URBANOS</w:t>
      </w:r>
    </w:p>
    <w:p w14:paraId="75E07C8A" w14:textId="77777777" w:rsidR="001B7AC6" w:rsidRDefault="001B7AC6" w:rsidP="001B7AC6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4016A37B" w14:textId="77777777" w:rsidR="001B7AC6" w:rsidRDefault="001B7AC6" w:rsidP="001B7AC6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SAÚDE</w:t>
      </w:r>
    </w:p>
    <w:p w14:paraId="3F8A8E82" w14:textId="77777777" w:rsidR="001B7AC6" w:rsidRDefault="001B7AC6" w:rsidP="001B7AC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19742AD2" w14:textId="77777777" w:rsidR="00325A46" w:rsidRPr="00325A46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189B6813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A54C61">
        <w:rPr>
          <w:color w:val="auto"/>
          <w:sz w:val="20"/>
          <w:szCs w:val="20"/>
          <w:lang w:eastAsia="en-US"/>
        </w:rPr>
        <w:t>DA ADESÃO À ATA DE REGISTRO DE PREÇOS</w:t>
      </w:r>
    </w:p>
    <w:p w14:paraId="1CF453B5" w14:textId="77777777" w:rsidR="00325A46" w:rsidRPr="00325A46" w:rsidRDefault="00325A46" w:rsidP="00325A46">
      <w:pPr>
        <w:spacing w:after="0" w:line="240" w:lineRule="auto"/>
      </w:pPr>
    </w:p>
    <w:p w14:paraId="643C0012" w14:textId="77777777" w:rsidR="00325A46" w:rsidRPr="00A54C61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A54C61">
        <w:rPr>
          <w:rFonts w:ascii="Arial" w:hAnsi="Arial" w:cs="Arial"/>
          <w:iCs/>
          <w:color w:val="FF0000"/>
          <w:sz w:val="20"/>
          <w:szCs w:val="20"/>
        </w:rPr>
        <w:t>Não será admitida a adesão à ata de registro de preços decorrente desta licitação.</w:t>
      </w:r>
    </w:p>
    <w:p w14:paraId="0A704364" w14:textId="77777777" w:rsidR="00325A46" w:rsidRPr="001B7AC6" w:rsidRDefault="00325A46" w:rsidP="001B7AC6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0FD60B27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 xml:space="preserve">VALIDADE DA ATA </w:t>
      </w:r>
    </w:p>
    <w:p w14:paraId="21769702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5D8BF846" w14:textId="77777777" w:rsidR="00325A46" w:rsidRP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A34BC6">
        <w:rPr>
          <w:rFonts w:ascii="Arial" w:hAnsi="Arial" w:cs="Arial"/>
          <w:iCs/>
          <w:sz w:val="20"/>
          <w:szCs w:val="20"/>
        </w:rPr>
        <w:t>12 meses</w:t>
      </w:r>
      <w:r w:rsidRPr="00A34BC6">
        <w:rPr>
          <w:rFonts w:ascii="Arial" w:hAnsi="Arial" w:cs="Arial"/>
          <w:sz w:val="20"/>
          <w:szCs w:val="20"/>
        </w:rPr>
        <w:t xml:space="preserve">, a partir </w:t>
      </w:r>
      <w:r w:rsidR="0062659C">
        <w:rPr>
          <w:rFonts w:ascii="Arial" w:hAnsi="Arial" w:cs="Arial"/>
          <w:sz w:val="20"/>
          <w:szCs w:val="20"/>
        </w:rPr>
        <w:t xml:space="preserve">de </w:t>
      </w:r>
      <w:r w:rsidR="0062659C" w:rsidRPr="0062659C">
        <w:rPr>
          <w:rFonts w:ascii="Arial" w:hAnsi="Arial" w:cs="Arial"/>
          <w:sz w:val="20"/>
          <w:szCs w:val="20"/>
        </w:rPr>
        <w:t>10/08/2021</w:t>
      </w:r>
      <w:r w:rsidRPr="00A34BC6">
        <w:rPr>
          <w:rFonts w:ascii="Arial" w:hAnsi="Arial" w:cs="Arial"/>
          <w:sz w:val="20"/>
          <w:szCs w:val="20"/>
        </w:rPr>
        <w:t>, não podendo ser prorrogada.</w:t>
      </w:r>
    </w:p>
    <w:p w14:paraId="5DC07962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3BFD8A48" w14:textId="77777777" w:rsid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A54C61">
        <w:rPr>
          <w:rFonts w:ascii="Arial" w:hAnsi="Arial" w:cs="Arial"/>
          <w:iCs/>
          <w:sz w:val="20"/>
          <w:szCs w:val="20"/>
        </w:rPr>
        <w:t xml:space="preserve"> </w:t>
      </w:r>
    </w:p>
    <w:p w14:paraId="08AEB24B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30FA9B53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19257BD9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4E0CEC41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60D04AD5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31D3C9B0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lastRenderedPageBreak/>
        <w:t xml:space="preserve">Quando o preço de mercado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24ED2587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liberar o fornecedor do compromisso assumido, caso a comunicação ocorra antes do pedido de fornecimento, e sem aplicação da penalidade se confirmada a veracidade dos motivos e comprovantes apresentados; </w:t>
      </w:r>
      <w:r>
        <w:rPr>
          <w:rFonts w:ascii="Arial" w:hAnsi="Arial" w:cs="Arial"/>
          <w:sz w:val="20"/>
          <w:szCs w:val="20"/>
        </w:rPr>
        <w:t>e</w:t>
      </w:r>
    </w:p>
    <w:p w14:paraId="38C5758C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0A3B5CF8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26A5928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registro do fornecedor será cancelado quando:</w:t>
      </w:r>
    </w:p>
    <w:p w14:paraId="64EB1CCF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2ABD23C4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3511E5A1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0AA319A6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2E1BA5B6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75B0F7A1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2118C464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por razão de interesse público; ou</w:t>
      </w:r>
    </w:p>
    <w:p w14:paraId="4E32EF31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pedido do fornecedor. </w:t>
      </w:r>
    </w:p>
    <w:p w14:paraId="130F13DA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44795EFF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>DAS PENALIDADES</w:t>
      </w:r>
    </w:p>
    <w:p w14:paraId="7F3E3D71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11C80BF8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427FDC92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A34BC6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A34BC6">
        <w:rPr>
          <w:rFonts w:ascii="Arial" w:hAnsi="Arial" w:cs="Arial"/>
          <w:sz w:val="20"/>
          <w:szCs w:val="20"/>
        </w:rPr>
        <w:t xml:space="preserve">. </w:t>
      </w:r>
    </w:p>
    <w:p w14:paraId="3E3D9EB6" w14:textId="77777777" w:rsidR="00325A46" w:rsidRPr="00A34BC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5CFE8581" w14:textId="77777777" w:rsidR="00325A4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2B549A74" w14:textId="77777777" w:rsidR="00325A46" w:rsidRPr="00A34BC6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67B61FE4" w14:textId="77777777" w:rsidR="00325A46" w:rsidRP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54C6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50F2602B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7D603280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6E7E5361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A34BC6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1358B44B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lastRenderedPageBreak/>
        <w:t>A ata de realização da sessão pública do pregão, contendo a relação dos licitantes que aceitarem cotar os bens ou serviços com preços iguais ao do licitante vencedor do certame, compõe anexo a esta Ata de Registro de Preços</w:t>
      </w:r>
      <w:r>
        <w:rPr>
          <w:rFonts w:ascii="Arial" w:hAnsi="Arial" w:cs="Arial"/>
          <w:iCs/>
          <w:sz w:val="20"/>
          <w:szCs w:val="20"/>
        </w:rPr>
        <w:t>.</w:t>
      </w:r>
    </w:p>
    <w:p w14:paraId="4D094F40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79323851" w14:textId="77777777" w:rsidR="004234B4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16A7751D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448C6A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234B4">
        <w:rPr>
          <w:rFonts w:ascii="Arial" w:eastAsia="Times New Roman" w:hAnsi="Arial" w:cs="Arial"/>
          <w:sz w:val="20"/>
          <w:szCs w:val="20"/>
          <w:lang w:eastAsia="pt-BR"/>
        </w:rPr>
        <w:t>Viçosa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4234B4">
        <w:rPr>
          <w:rFonts w:ascii="Arial" w:eastAsia="Times New Roman" w:hAnsi="Arial" w:cs="Arial"/>
          <w:sz w:val="20"/>
          <w:szCs w:val="20"/>
          <w:lang w:eastAsia="pt-BR"/>
        </w:rPr>
        <w:t>Rio Grande do Norte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8D6FE3" w:rsidRPr="008D6FE3">
        <w:rPr>
          <w:rFonts w:ascii="Arial" w:eastAsia="Times New Roman" w:hAnsi="Arial" w:cs="Arial"/>
          <w:sz w:val="20"/>
          <w:szCs w:val="20"/>
          <w:lang w:eastAsia="pt-BR"/>
        </w:rPr>
        <w:t>10/08/2021</w:t>
      </w:r>
      <w:r w:rsidR="008D6FE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DCB7ECC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2CC2C1A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DC4D30A" w14:textId="77777777" w:rsidR="00130F5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ASSINATURAS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22E0E832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9389D88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C003C4D" w14:textId="77777777" w:rsidR="004234B4" w:rsidRPr="0023528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0164445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145CCED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DD39356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48C83205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CNPJ/MF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nº 08.158.198/0001-48</w:t>
      </w:r>
    </w:p>
    <w:p w14:paraId="4333B33F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31705207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3D079DBA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683AB179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EB7650C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CAC3B06" w14:textId="77777777" w:rsidR="004234B4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66141D4" w14:textId="77777777" w:rsidR="004234B4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5C272407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49DFB5B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BC0B198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A69DE66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A85C226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8761680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54A1F84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7A7DDD3" w14:textId="25EC016E" w:rsidR="00D066A6" w:rsidRDefault="0054082E">
      <w:pPr>
        <w:spacing w:after="0" w:line="0" w:lineRule="atLeast"/>
        <w:jc w:val="center"/>
      </w:pPr>
      <w:r>
        <w:rPr>
          <w:rFonts w:ascii="Arial" w:eastAsia="Times New Roman" w:hAnsi="Arial" w:cs="Arial"/>
          <w:sz w:val="16"/>
        </w:rPr>
        <w:t>_____________________________________</w:t>
      </w:r>
      <w:r w:rsidR="001B7AC6">
        <w:rPr>
          <w:rFonts w:ascii="Arial" w:eastAsia="Times New Roman" w:hAnsi="Arial" w:cs="Arial"/>
          <w:sz w:val="16"/>
        </w:rPr>
        <w:t>____________</w:t>
      </w:r>
      <w:r>
        <w:rPr>
          <w:rFonts w:ascii="Arial" w:eastAsia="Times New Roman" w:hAnsi="Arial" w:cs="Arial"/>
          <w:sz w:val="16"/>
        </w:rPr>
        <w:br/>
      </w:r>
      <w:r w:rsidRPr="001B7AC6">
        <w:rPr>
          <w:rFonts w:ascii="Arial" w:eastAsia="Times New Roman" w:hAnsi="Arial" w:cs="Arial"/>
          <w:sz w:val="20"/>
          <w:szCs w:val="20"/>
        </w:rPr>
        <w:t>M. K. DE AZEVEDO ARAUJO DUTRA DANTAS</w:t>
      </w:r>
      <w:r w:rsidRPr="001B7AC6">
        <w:rPr>
          <w:rFonts w:ascii="Arial" w:eastAsia="Times New Roman" w:hAnsi="Arial" w:cs="Arial"/>
          <w:sz w:val="20"/>
          <w:szCs w:val="20"/>
        </w:rPr>
        <w:br/>
        <w:t>CNPJ: 21.062.777/0001-50</w:t>
      </w:r>
      <w:r w:rsidRPr="001B7AC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16"/>
        </w:rPr>
        <w:br/>
      </w:r>
    </w:p>
    <w:p w14:paraId="0DF5BD73" w14:textId="77777777" w:rsidR="00FD09AD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p w14:paraId="2771976E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iCs/>
          <w:sz w:val="20"/>
          <w:szCs w:val="20"/>
          <w:lang w:eastAsia="pt-BR"/>
        </w:rPr>
        <w:lastRenderedPageBreak/>
        <w:t>EXTRATO DE ATA DE REGISTRO DE PREÇOS N.º 065/2021 - PMV</w:t>
      </w:r>
    </w:p>
    <w:p w14:paraId="4BCB28B5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4BE5881C" w14:textId="77777777" w:rsidR="00FD09AD" w:rsidRPr="0050791F" w:rsidRDefault="00FD09AD" w:rsidP="00FD09A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50791F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50791F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05/08/2021,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50791F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 e em conformidade com as disposições a seguir:</w:t>
      </w:r>
    </w:p>
    <w:p w14:paraId="3FA38AA4" w14:textId="77777777" w:rsidR="00FD09AD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0A81B6" w14:textId="77777777" w:rsidR="00FD09AD" w:rsidRPr="0050791F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OBJETO: Aquisição de móveis, eletrodomésticos e eletrônicos destinados ao atendimento das demandas do município de Viçosa/RN.</w:t>
      </w:r>
    </w:p>
    <w:p w14:paraId="2E1EC536" w14:textId="77777777" w:rsidR="00FD09AD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D8074E5" w14:textId="77777777" w:rsidR="00FD09AD" w:rsidRPr="0050791F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50791F">
        <w:rPr>
          <w:rFonts w:ascii="Arial" w:hAnsi="Arial" w:cs="Arial"/>
          <w:sz w:val="20"/>
          <w:szCs w:val="20"/>
        </w:rPr>
        <w:t>FORNECEDORES: M. K. DE AZEVEDO ARAUJO DUTRA DANTAS - CNPJ: 21.062.777/0001-50, com sede na R JOAQUIM RIBEIRO, 181, CENTRO, São Bento/PB</w:t>
      </w:r>
    </w:p>
    <w:p w14:paraId="74115938" w14:textId="77777777" w:rsidR="00FD09AD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14:paraId="5898A610" w14:textId="77777777" w:rsidR="00FD09AD" w:rsidRPr="0050791F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50791F">
        <w:rPr>
          <w:rFonts w:ascii="Arial" w:hAnsi="Arial" w:cs="Arial"/>
          <w:iCs/>
          <w:sz w:val="20"/>
          <w:szCs w:val="20"/>
        </w:rPr>
        <w:t>ITENS E SEUS RESPECTIVOS VENCEDORES:</w:t>
      </w:r>
    </w:p>
    <w:p w14:paraId="7327A33A" w14:textId="77777777" w:rsidR="00D066A6" w:rsidRDefault="0054082E">
      <w:r>
        <w:rPr>
          <w:rFonts w:ascii="Arial" w:eastAsia="Times New Roman" w:hAnsi="Arial" w:cs="Arial"/>
          <w:b/>
          <w:sz w:val="16"/>
        </w:rPr>
        <w:t>1567 - M. K. DE AZEVEDO ARAUJO DUTRA DANTAS (21.062.777/0001-50)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166"/>
        <w:gridCol w:w="895"/>
        <w:gridCol w:w="1097"/>
        <w:gridCol w:w="1114"/>
        <w:gridCol w:w="928"/>
      </w:tblGrid>
      <w:tr w:rsidR="00D066A6" w14:paraId="1C6D052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C18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0A7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200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33E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1D0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C8F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D066A6" w14:paraId="6A104AD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747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FCB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4764 - CADEIRAS ESTOFADAS SEM BRAÇOS Cadeira ergonômica fixa, sem braços, assento e encosto estofados em espuma de poliuretano laminada 40mm, revestimento em tecido polipropileno, com proteção das bordas em PVC, base com 04 pés, estrutura em aço tubular, pintada em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epoxi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preto. DIMENSÕES: Altura: 900mm; Profundidade: 670mm; Largura: 655mm; Altura do encosto: 450mm; Largura do encosto: 450mm; Profundidade do assento: 450mm; Largura do assento: 450mm; Altura do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assento(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>em relação ao piso): 455mm. MARTIFLEX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701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FA8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841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8EE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5.220,00</w:t>
            </w:r>
          </w:p>
        </w:tc>
      </w:tr>
      <w:tr w:rsidR="00D066A6" w14:paraId="43FF1FA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5C8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DCF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4773 - MICROONDAS (30 LT) Capacidade mínima: 30 litros; Funções: auto descongelar, grill, painel com relógio, bloqueio do painel, timer, teclas pré-programadas; Voltagem: 220V/60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Hz;máq</w:t>
            </w:r>
            <w:proofErr w:type="gramEnd"/>
            <w:r>
              <w:rPr>
                <w:rFonts w:ascii="Arial" w:eastAsia="Times New Roman" w:hAnsi="Arial" w:cs="Arial"/>
                <w:sz w:val="16"/>
              </w:rPr>
              <w:t xml:space="preserve">, Garantia mínima: 1 ano; Referência: Classificação: selo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procel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categoria A, certificação do INMETRO [Programa Nacional de Conservação de Energia Elétrica (Portaria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inmetro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mdic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 xml:space="preserve"> n° 20 de 01/02/2006)]; Manual em português. MIDEA - MTRS42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1DC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F96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F16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7C7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4.193,00</w:t>
            </w:r>
          </w:p>
        </w:tc>
      </w:tr>
      <w:tr w:rsidR="00D066A6" w14:paraId="5BD254E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1F5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380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4794 - BEBEDOURA DE COLUNA COM DUAS TORNEIRAS KARINA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AFE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E8E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4D7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599,00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B1E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5.990,00</w:t>
            </w:r>
          </w:p>
        </w:tc>
      </w:tr>
      <w:tr w:rsidR="00D066A6" w14:paraId="7700263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D07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0BC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4774 - FOGÃO 04 BOCAS Fogão - 4 bocas; Acendimento automático (mesa e forno); Forno autolimpante; capacidade mínima: 45 litros; Válvula de segurança no forno; Prateleira removível; cor branca. BRASLAR - SIRIUS PLUS 4BC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92B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D9D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575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577,00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FAD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4.616,00</w:t>
            </w:r>
          </w:p>
        </w:tc>
      </w:tr>
      <w:tr w:rsidR="00D066A6" w14:paraId="62A92A3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129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B9E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4795 - AR CONDICIONADO SPLIT 9.000 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>BTUS  AGRATTO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18E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04E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143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1.389,90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168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13.899,00</w:t>
            </w:r>
          </w:p>
        </w:tc>
      </w:tr>
      <w:tr w:rsidR="00D066A6" w14:paraId="3463181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E5A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37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B87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4796 - AR CONDICIONADO SPLIT 24.000 BTUS ELGIN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2CC" w14:textId="77777777" w:rsidR="00D066A6" w:rsidRDefault="0054082E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443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441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3.200,00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0C8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16.000,00</w:t>
            </w:r>
          </w:p>
        </w:tc>
      </w:tr>
      <w:tr w:rsidR="00D066A6" w14:paraId="2D07B6EA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591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E65" w14:textId="77777777" w:rsidR="00D066A6" w:rsidRDefault="0054082E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49.918,00</w:t>
            </w:r>
          </w:p>
        </w:tc>
      </w:tr>
    </w:tbl>
    <w:p w14:paraId="1C00E9FB" w14:textId="77777777" w:rsidR="00FD09AD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A1CF3C9" w14:textId="77777777" w:rsidR="00FD09AD" w:rsidRPr="0050791F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VALIDADE DA ATA: A validade da Ata de Registro de Preços iniciará em 10/08/2021, tendo seu término em 09/08/2022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73C1494C" w14:textId="77777777" w:rsidR="00FD09AD" w:rsidRPr="0050791F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5925DC4C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Viçosa, Rio Grande do Norte, 10/08/2021.</w:t>
      </w:r>
    </w:p>
    <w:p w14:paraId="1C813AD6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4BAD473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E74F5CD" w14:textId="77777777" w:rsidR="00FD09AD" w:rsidRPr="0050791F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580691E3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F179832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17366AC4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1DAAA850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3707C700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406A1ED8" w14:textId="77777777" w:rsidR="00FD09AD" w:rsidRPr="0050791F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422E2820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FC61D6D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0791F">
        <w:rPr>
          <w:rFonts w:ascii="Arial" w:eastAsia="Times New Roman" w:hAnsi="Arial" w:cs="Arial"/>
          <w:sz w:val="20"/>
          <w:szCs w:val="20"/>
          <w:lang w:eastAsia="pt-BR"/>
        </w:rPr>
        <w:t>FUTURA CONTRATADA</w:t>
      </w:r>
    </w:p>
    <w:p w14:paraId="6E63DB93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EB95B6" w14:textId="77777777" w:rsidR="00FD09AD" w:rsidRPr="0050791F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DB0B9B" w14:textId="77777777" w:rsidR="00D066A6" w:rsidRDefault="0054082E">
      <w:pPr>
        <w:spacing w:after="0" w:line="0" w:lineRule="atLeast"/>
        <w:jc w:val="center"/>
      </w:pPr>
      <w:r>
        <w:rPr>
          <w:rFonts w:ascii="Arial" w:eastAsia="Times New Roman" w:hAnsi="Arial" w:cs="Arial"/>
          <w:sz w:val="16"/>
        </w:rPr>
        <w:t>_____________________________________</w:t>
      </w:r>
      <w:r>
        <w:rPr>
          <w:rFonts w:ascii="Arial" w:eastAsia="Times New Roman" w:hAnsi="Arial" w:cs="Arial"/>
          <w:sz w:val="16"/>
        </w:rPr>
        <w:br/>
        <w:t>M. K. DE AZEVEDO ARAUJO DUTRA DANTAS</w:t>
      </w:r>
      <w:r>
        <w:rPr>
          <w:rFonts w:ascii="Arial" w:eastAsia="Times New Roman" w:hAnsi="Arial" w:cs="Arial"/>
          <w:sz w:val="16"/>
        </w:rPr>
        <w:br/>
        <w:t>CNPJ: 21.062.777/0001-50</w:t>
      </w:r>
      <w:r>
        <w:rPr>
          <w:rFonts w:ascii="Arial" w:eastAsia="Times New Roman" w:hAnsi="Arial" w:cs="Arial"/>
          <w:sz w:val="16"/>
        </w:rPr>
        <w:br/>
      </w:r>
      <w:r>
        <w:rPr>
          <w:rFonts w:ascii="Arial" w:eastAsia="Times New Roman" w:hAnsi="Arial" w:cs="Arial"/>
          <w:sz w:val="16"/>
        </w:rPr>
        <w:br/>
      </w:r>
    </w:p>
    <w:p w14:paraId="355924C2" w14:textId="77777777" w:rsidR="00130F50" w:rsidRPr="00235280" w:rsidRDefault="00130F50" w:rsidP="00845583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37E3EC3C" w14:textId="77777777" w:rsidR="002647C3" w:rsidRPr="00130F50" w:rsidRDefault="002647C3" w:rsidP="00130F50"/>
    <w:sectPr w:rsidR="002647C3" w:rsidRPr="00130F50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E9E8" w14:textId="77777777" w:rsidR="00DA3832" w:rsidRDefault="00DA3832">
      <w:pPr>
        <w:spacing w:after="0" w:line="240" w:lineRule="auto"/>
      </w:pPr>
      <w:r>
        <w:separator/>
      </w:r>
    </w:p>
  </w:endnote>
  <w:endnote w:type="continuationSeparator" w:id="0">
    <w:p w14:paraId="1D25FC8D" w14:textId="77777777" w:rsidR="00DA3832" w:rsidRDefault="00DA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8AAF" w14:textId="77777777" w:rsidR="00FB7690" w:rsidRPr="004930D5" w:rsidRDefault="00FB7690" w:rsidP="00FB7690">
    <w:pPr>
      <w:pStyle w:val="Rodap"/>
      <w:rPr>
        <w:color w:val="2E74B5"/>
      </w:rPr>
    </w:pPr>
  </w:p>
  <w:p w14:paraId="35032E73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5619AED8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32556FBC" w14:textId="0745CB0B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1B7AC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3C0A64" wp14:editId="297EF9E7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F71D5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F191" w14:textId="77777777" w:rsidR="00DA3832" w:rsidRDefault="00DA3832">
      <w:pPr>
        <w:spacing w:after="0" w:line="240" w:lineRule="auto"/>
      </w:pPr>
      <w:r>
        <w:separator/>
      </w:r>
    </w:p>
  </w:footnote>
  <w:footnote w:type="continuationSeparator" w:id="0">
    <w:p w14:paraId="142D8E2E" w14:textId="77777777" w:rsidR="00DA3832" w:rsidRDefault="00DA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84D2" w14:textId="77777777" w:rsidR="00FB7690" w:rsidRDefault="00FB7690" w:rsidP="00FB7690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DCD0EFE" wp14:editId="6EC52247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BC0EF50" wp14:editId="53A98ABB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B216A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05CDB109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3F0D4B5C" w14:textId="77777777" w:rsidR="00FB7690" w:rsidRDefault="00FB7690" w:rsidP="00FB7690">
    <w:pPr>
      <w:pStyle w:val="Cabealho"/>
      <w:jc w:val="center"/>
    </w:pPr>
  </w:p>
  <w:p w14:paraId="7C10DEE3" w14:textId="77777777" w:rsidR="00FB7690" w:rsidRDefault="00FB7690" w:rsidP="00FB7690">
    <w:pPr>
      <w:pStyle w:val="Cabealho"/>
      <w:jc w:val="center"/>
      <w:rPr>
        <w:color w:val="0000FF"/>
      </w:rPr>
    </w:pPr>
  </w:p>
  <w:p w14:paraId="2E439BD5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72BE0D79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351FF"/>
    <w:rsid w:val="000A01C0"/>
    <w:rsid w:val="000C434B"/>
    <w:rsid w:val="00130F50"/>
    <w:rsid w:val="001B7AC6"/>
    <w:rsid w:val="002647C3"/>
    <w:rsid w:val="002E6205"/>
    <w:rsid w:val="00325A46"/>
    <w:rsid w:val="0035322B"/>
    <w:rsid w:val="004234B4"/>
    <w:rsid w:val="004E5201"/>
    <w:rsid w:val="004E780A"/>
    <w:rsid w:val="0054082E"/>
    <w:rsid w:val="0062659C"/>
    <w:rsid w:val="00655CAD"/>
    <w:rsid w:val="007752B3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F7E1C"/>
    <w:rsid w:val="00C4633A"/>
    <w:rsid w:val="00C73AC6"/>
    <w:rsid w:val="00D066A6"/>
    <w:rsid w:val="00D815AD"/>
    <w:rsid w:val="00DA3832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CB0C4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2</cp:revision>
  <dcterms:created xsi:type="dcterms:W3CDTF">2021-08-31T18:52:00Z</dcterms:created>
  <dcterms:modified xsi:type="dcterms:W3CDTF">2021-08-31T18:52:00Z</dcterms:modified>
</cp:coreProperties>
</file>